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454C" w14:textId="77777777" w:rsidR="00974A04" w:rsidRDefault="00974A04" w:rsidP="009064D6">
      <w:pPr>
        <w:pStyle w:val="BodyText"/>
        <w:jc w:val="right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1FAB0428" w14:textId="77777777" w:rsidR="00974A04" w:rsidRDefault="00974A04" w:rsidP="009064D6">
      <w:pPr>
        <w:pStyle w:val="BodyText"/>
        <w:jc w:val="right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14:paraId="63DBF6C3" w14:textId="1AC526AC" w:rsidR="009064D6" w:rsidRPr="00C45431" w:rsidRDefault="009064D6" w:rsidP="009064D6">
      <w:pPr>
        <w:pStyle w:val="BodyText"/>
        <w:jc w:val="right"/>
        <w:rPr>
          <w:rFonts w:asciiTheme="minorHAnsi" w:hAnsiTheme="minorHAnsi" w:cstheme="minorHAnsi"/>
          <w:color w:val="002060"/>
          <w:sz w:val="24"/>
          <w:szCs w:val="24"/>
          <w:lang w:val="it-IT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 xml:space="preserve">Anexa </w:t>
      </w:r>
      <w:r w:rsidR="00C45431">
        <w:rPr>
          <w:rFonts w:asciiTheme="minorHAnsi" w:hAnsiTheme="minorHAnsi" w:cstheme="minorHAnsi"/>
          <w:b/>
          <w:color w:val="002060"/>
          <w:sz w:val="24"/>
          <w:szCs w:val="24"/>
        </w:rPr>
        <w:t>3</w:t>
      </w:r>
    </w:p>
    <w:p w14:paraId="0D7A9A38" w14:textId="77777777" w:rsidR="006F3A56" w:rsidRPr="009064D6" w:rsidRDefault="006F3A56" w:rsidP="00BA3FDD">
      <w:pPr>
        <w:jc w:val="center"/>
        <w:rPr>
          <w:rFonts w:asciiTheme="minorHAnsi" w:hAnsiTheme="minorHAnsi" w:cstheme="minorHAnsi"/>
          <w:b/>
          <w:i/>
          <w:color w:val="002060"/>
          <w:sz w:val="24"/>
          <w:szCs w:val="24"/>
        </w:rPr>
      </w:pPr>
    </w:p>
    <w:p w14:paraId="337B1150" w14:textId="77777777" w:rsidR="00BA3FDD" w:rsidRPr="009064D6" w:rsidRDefault="00BA3FDD" w:rsidP="00BA3FDD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Lista domeniilor și a subdomeniilor de specializare inteligentă sprijinite</w:t>
      </w:r>
    </w:p>
    <w:p w14:paraId="13540208" w14:textId="77777777" w:rsidR="00BA3FDD" w:rsidRPr="009064D6" w:rsidRDefault="00BA3FDD" w:rsidP="00BA3FDD">
      <w:pPr>
        <w:jc w:val="center"/>
        <w:rPr>
          <w:rFonts w:asciiTheme="minorHAnsi" w:hAnsiTheme="minorHAnsi" w:cstheme="minorHAnsi"/>
          <w:b/>
          <w:i/>
          <w:color w:val="002060"/>
          <w:sz w:val="24"/>
          <w:szCs w:val="24"/>
        </w:rPr>
      </w:pPr>
    </w:p>
    <w:p w14:paraId="18DEA9D3" w14:textId="77777777" w:rsidR="00BA3FDD" w:rsidRPr="009064D6" w:rsidRDefault="00BA3FDD" w:rsidP="00BA3FDD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În conformitate cu prevederile </w:t>
      </w:r>
      <w:r w:rsidRPr="009064D6">
        <w:rPr>
          <w:rFonts w:asciiTheme="minorHAnsi" w:hAnsiTheme="minorHAnsi" w:cstheme="minorHAnsi"/>
          <w:b/>
          <w:i/>
          <w:color w:val="002060"/>
          <w:sz w:val="24"/>
          <w:szCs w:val="24"/>
        </w:rPr>
        <w:t>HG nr. 933/2022 privind aprobarea Strategiei naționale de cercetare, inovare și specializare inteligentă 2022-2027</w:t>
      </w: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 xml:space="preserve"> </w:t>
      </w: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și luând în considerare </w:t>
      </w:r>
      <w:r w:rsidRPr="009064D6">
        <w:rPr>
          <w:rFonts w:asciiTheme="minorHAnsi" w:hAnsiTheme="minorHAnsi" w:cstheme="minorHAnsi"/>
          <w:i/>
          <w:color w:val="002060"/>
          <w:sz w:val="24"/>
          <w:szCs w:val="24"/>
        </w:rPr>
        <w:t>Decizia Comisiei Europene nr. 8934/30.</w:t>
      </w:r>
      <w:r w:rsidR="00002255" w:rsidRPr="009064D6">
        <w:rPr>
          <w:rFonts w:asciiTheme="minorHAnsi" w:hAnsiTheme="minorHAnsi" w:cstheme="minorHAnsi"/>
          <w:i/>
          <w:color w:val="002060"/>
          <w:sz w:val="24"/>
          <w:szCs w:val="24"/>
        </w:rPr>
        <w:t>0</w:t>
      </w:r>
      <w:r w:rsidRPr="009064D6">
        <w:rPr>
          <w:rFonts w:asciiTheme="minorHAnsi" w:hAnsiTheme="minorHAnsi" w:cstheme="minorHAnsi"/>
          <w:i/>
          <w:color w:val="002060"/>
          <w:sz w:val="24"/>
          <w:szCs w:val="24"/>
        </w:rPr>
        <w:t>1.2022 de aprobare a Programului Sănătate 2021-2027 (</w:t>
      </w:r>
      <w:proofErr w:type="spellStart"/>
      <w:r w:rsidRPr="009064D6">
        <w:rPr>
          <w:rFonts w:asciiTheme="minorHAnsi" w:hAnsiTheme="minorHAnsi" w:cstheme="minorHAnsi"/>
          <w:i/>
          <w:color w:val="002060"/>
          <w:sz w:val="24"/>
          <w:szCs w:val="24"/>
        </w:rPr>
        <w:t>PoS</w:t>
      </w:r>
      <w:proofErr w:type="spellEnd"/>
      <w:r w:rsidRPr="009064D6">
        <w:rPr>
          <w:rFonts w:asciiTheme="minorHAnsi" w:hAnsiTheme="minorHAnsi" w:cstheme="minorHAnsi"/>
          <w:i/>
          <w:color w:val="002060"/>
          <w:sz w:val="24"/>
          <w:szCs w:val="24"/>
        </w:rPr>
        <w:t>) pentru sprijin din partea Fondului european de dezvoltare regională în cadrul obiectivului „Investiții pentru ocuparea forței de muncă și creștere economică” din România</w:t>
      </w:r>
      <w:r w:rsidRPr="009064D6">
        <w:rPr>
          <w:rFonts w:asciiTheme="minorHAnsi" w:hAnsiTheme="minorHAnsi" w:cstheme="minorHAnsi"/>
          <w:color w:val="002060"/>
          <w:sz w:val="24"/>
          <w:szCs w:val="24"/>
        </w:rPr>
        <w:t>,</w:t>
      </w:r>
      <w:r w:rsidR="006F3A56"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următorul domeniu</w:t>
      </w: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și subdomenii de specializare inteligentă sunt sprijinite în cadrul prezentului apel:</w:t>
      </w:r>
    </w:p>
    <w:p w14:paraId="3125D0FB" w14:textId="77777777" w:rsidR="006F3A56" w:rsidRPr="009064D6" w:rsidRDefault="006F3A56" w:rsidP="006F3A56">
      <w:p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 Sănătate - prevenție, diagnostic și tratament avansat</w:t>
      </w:r>
    </w:p>
    <w:p w14:paraId="12CEF20C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7.1 Chirurgia de precizie</w:t>
      </w:r>
    </w:p>
    <w:p w14:paraId="28286711" w14:textId="77777777" w:rsidR="006F3A56" w:rsidRPr="009064D6" w:rsidRDefault="006F3A56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Include roboți chirurgicali și soluții de inteligență artificială, imagistică, realitate augmentată și/sau virtuală cu rol în intervenții de precizie în chirurgie plastică, urologie, ginecologie, ortopedie, neurologie, chirurgie toracică, ORL, chirurgie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bariatrică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, rectală și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colonică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, oncologii multiple, chirurgie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buco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>-maxilo-facială.</w:t>
      </w:r>
    </w:p>
    <w:p w14:paraId="3106AD33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 xml:space="preserve">7.2 Tehnologii nucleare </w:t>
      </w:r>
      <w:proofErr w:type="spellStart"/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diagnostico</w:t>
      </w:r>
      <w:proofErr w:type="spellEnd"/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-terapeutice de nouă generație</w:t>
      </w:r>
    </w:p>
    <w:p w14:paraId="682F55F1" w14:textId="77777777" w:rsidR="006F3A56" w:rsidRPr="009064D6" w:rsidRDefault="006F3A56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Include dezvoltarea tehnologiilor pentru terapia cu protoni – fascicule cu energie mare pentru tratarea tumorilor; terapia sistemică cu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radionuclizi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-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radiofarmaceutice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: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biomolecule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cu capacitate de țintire specifică (peptide, anticorpi,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nanostructuri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) și radioizotopi terapeutici; Tomografia Computerizată cu Emisie de Fotoni Singulari (SPECT); Tomografia prin Emisie de Pozitroni cuplata cu Tomografia Computerizată (PET-CT) pentru diagnostic precoce, monitorizarea terapiei și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follow-up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>; imagistică hibridă: PET-CT, PET-IRM și SPECT-CT.</w:t>
      </w:r>
    </w:p>
    <w:p w14:paraId="7B00E546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7.3 Medicina longevității</w:t>
      </w:r>
    </w:p>
    <w:p w14:paraId="6C68AFC1" w14:textId="77777777" w:rsidR="006F3A56" w:rsidRPr="009064D6" w:rsidRDefault="006F3A56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Domeniul vizează prelungirea duratei de viață și a calității ei prin creșterea capacității de apărare imunologică a organismului cu ajutorul produselor de tip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senolitic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nutraceutice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etc.; prin medicina celulară și moleculară; prin obiectivarea stresului și a efectelor acestuia pe termen lung, prin dezvoltarea de soluții centrate pe pacient și mediu, folosind soluții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smart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>.</w:t>
      </w:r>
    </w:p>
    <w:p w14:paraId="072B6CBD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7.4 Diagnosticare precoce</w:t>
      </w:r>
    </w:p>
    <w:p w14:paraId="27F7383F" w14:textId="77777777" w:rsidR="006F3A56" w:rsidRDefault="006F3A56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Include teste și analize funcționale, imagistică,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biomarkeri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>, senzori (purtabili sau implantați), sisteme de detecție rapidă și analiză patogeni pentru identificarea în stadiu precoce și screening-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ul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unor boli precum demența, cancerul sau bolile infecțioase emergente (cu virusuri, bacterii și fungi).</w:t>
      </w:r>
    </w:p>
    <w:p w14:paraId="5BB5E07F" w14:textId="77777777" w:rsidR="00974A04" w:rsidRDefault="00974A04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</w:p>
    <w:p w14:paraId="52359B75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7.5 Tehnologii pentru o viață autonomă</w:t>
      </w:r>
    </w:p>
    <w:p w14:paraId="6D99B7C9" w14:textId="77777777" w:rsidR="006F3A56" w:rsidRPr="009064D6" w:rsidRDefault="006F3A56" w:rsidP="006F3A5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Include tehnologii inteligente pentru o îmbătrânire activă și sănătoasă și o viață autonomă a persoanelor cu dizabilități / deficiențe (fizice, cognitive, perceptive), boli sau traume, în toate aspectele relevante - viată domestică, interacțiuni sociale, mobilitate, timp liber. Tehnologiile includ dispozitive, senzori (și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wearables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) pentru monitorizarea activității, a parametrilor fiziologici sau ambientului, roboți (de companie,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colaborativi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exoskeleton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>), algoritmi de inteligență artificială.</w:t>
      </w:r>
    </w:p>
    <w:p w14:paraId="3D2C8385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 xml:space="preserve">7.6 </w:t>
      </w:r>
      <w:proofErr w:type="spellStart"/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eHealth</w:t>
      </w:r>
      <w:proofErr w:type="spellEnd"/>
    </w:p>
    <w:p w14:paraId="6FBE5590" w14:textId="77777777" w:rsidR="006F3A56" w:rsidRPr="009064D6" w:rsidRDefault="006F3A56" w:rsidP="009064D6">
      <w:pPr>
        <w:rPr>
          <w:rFonts w:asciiTheme="minorHAnsi" w:hAnsiTheme="minorHAnsi" w:cstheme="minorHAnsi"/>
          <w:color w:val="002060"/>
          <w:sz w:val="24"/>
          <w:szCs w:val="24"/>
        </w:rPr>
      </w:pP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eHealth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acoperă interacțiunea bazată pe tehnologia informației și comunicații pentru a îmbunătății prevenția, diagnosticul, tratamentul, monitorizarea și managementul problemelor de sănătate sau a obiceiurile de viață care influențează starea de sănătate. La nivel tehnic include rețele de informații și transmitere de date; înregistrări electronice de sănătate; servicii de medicamente; rețele de comunicare pacient-furnizor și instituție - instituție; sisteme de asistare, inclusiv bazate pe monitorizare prin sisteme purtabile.</w:t>
      </w:r>
    </w:p>
    <w:p w14:paraId="73E563C1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7.7 Medicina personalizată și genomică</w:t>
      </w:r>
    </w:p>
    <w:p w14:paraId="4230D96D" w14:textId="77777777" w:rsidR="006F3A56" w:rsidRPr="009064D6" w:rsidRDefault="006F3A56" w:rsidP="009064D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>Medicina personalizată reprezintă un model medical care utilizează caracterizarea fenotipurilor și genotipurilor indivizilor pentru adaptarea strategiei terapeutice la caracteristicile persoanelor sau pentru determinarea predispoziției la boală și/sau pentru personalizarea nutriției. Include tehnologii pentru profilări moleculare, imagistică medicală, big data, cercetare în genomică.</w:t>
      </w:r>
    </w:p>
    <w:p w14:paraId="6711FD3E" w14:textId="77777777" w:rsidR="006F3A56" w:rsidRPr="009064D6" w:rsidRDefault="006F3A56" w:rsidP="009064D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b/>
          <w:color w:val="002060"/>
          <w:sz w:val="24"/>
          <w:szCs w:val="24"/>
        </w:rPr>
        <w:t>7.8 Tehnologiile pentru sisteme purtabile</w:t>
      </w:r>
    </w:p>
    <w:p w14:paraId="382D1AC7" w14:textId="77777777" w:rsidR="00961438" w:rsidRPr="009064D6" w:rsidRDefault="006F3A56" w:rsidP="009064D6">
      <w:pPr>
        <w:rPr>
          <w:rFonts w:asciiTheme="minorHAnsi" w:hAnsiTheme="minorHAnsi" w:cstheme="minorHAnsi"/>
          <w:color w:val="002060"/>
          <w:sz w:val="24"/>
          <w:szCs w:val="24"/>
        </w:rPr>
      </w:pPr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Include dispozitive electronice inteligente care sunt purtate aproape de sau pe suprafața pielii, care detectează, analizează și transmit informații (inclusiv în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cloud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) referitoare la semnale ale corpului, cum ar fi semne vitale și/sau date ambientale și care permit, în unele cazuri, </w:t>
      </w:r>
      <w:proofErr w:type="spellStart"/>
      <w:r w:rsidRPr="009064D6">
        <w:rPr>
          <w:rFonts w:asciiTheme="minorHAnsi" w:hAnsiTheme="minorHAnsi" w:cstheme="minorHAnsi"/>
          <w:color w:val="002060"/>
          <w:sz w:val="24"/>
          <w:szCs w:val="24"/>
        </w:rPr>
        <w:t>biofeedback</w:t>
      </w:r>
      <w:proofErr w:type="spellEnd"/>
      <w:r w:rsidRPr="009064D6">
        <w:rPr>
          <w:rFonts w:asciiTheme="minorHAnsi" w:hAnsiTheme="minorHAnsi" w:cstheme="minorHAnsi"/>
          <w:color w:val="002060"/>
          <w:sz w:val="24"/>
          <w:szCs w:val="24"/>
        </w:rPr>
        <w:t xml:space="preserve"> imediat. Aplicațiile sunt în domeniul medical și fitness, dar și în monitorizarea mediului sau industria divertismentului.</w:t>
      </w:r>
      <w:r w:rsidRPr="009064D6">
        <w:rPr>
          <w:rFonts w:asciiTheme="minorHAnsi" w:hAnsiTheme="minorHAnsi" w:cstheme="minorHAnsi"/>
          <w:color w:val="002060"/>
          <w:sz w:val="24"/>
          <w:szCs w:val="24"/>
        </w:rPr>
        <w:cr/>
      </w:r>
    </w:p>
    <w:p w14:paraId="3569034F" w14:textId="77777777" w:rsidR="00961438" w:rsidRPr="009064D6" w:rsidRDefault="00961438" w:rsidP="00961438">
      <w:pPr>
        <w:rPr>
          <w:rFonts w:asciiTheme="minorHAnsi" w:hAnsiTheme="minorHAnsi" w:cstheme="minorHAnsi"/>
          <w:color w:val="002060"/>
          <w:sz w:val="24"/>
          <w:szCs w:val="24"/>
        </w:rPr>
      </w:pPr>
    </w:p>
    <w:sectPr w:rsidR="00961438" w:rsidRPr="009064D6" w:rsidSect="004077DA">
      <w:headerReference w:type="default" r:id="rId8"/>
      <w:footerReference w:type="default" r:id="rId9"/>
      <w:pgSz w:w="11906" w:h="16838" w:code="9"/>
      <w:pgMar w:top="1134" w:right="851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662BC" w14:textId="77777777" w:rsidR="004077DA" w:rsidRDefault="004077DA" w:rsidP="002C069A">
      <w:pPr>
        <w:spacing w:line="240" w:lineRule="auto"/>
      </w:pPr>
      <w:r>
        <w:separator/>
      </w:r>
    </w:p>
  </w:endnote>
  <w:endnote w:type="continuationSeparator" w:id="0">
    <w:p w14:paraId="40B05BF4" w14:textId="77777777" w:rsidR="004077DA" w:rsidRDefault="004077DA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446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EAEAF7" w14:textId="061E0684" w:rsidR="00974A04" w:rsidRDefault="00974A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62B6E1" w14:textId="77777777" w:rsidR="00974A04" w:rsidRDefault="00974A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679D" w14:textId="77777777" w:rsidR="004077DA" w:rsidRDefault="004077DA" w:rsidP="002C069A">
      <w:pPr>
        <w:spacing w:line="240" w:lineRule="auto"/>
      </w:pPr>
      <w:r>
        <w:separator/>
      </w:r>
    </w:p>
  </w:footnote>
  <w:footnote w:type="continuationSeparator" w:id="0">
    <w:p w14:paraId="0774DA8D" w14:textId="77777777" w:rsidR="004077DA" w:rsidRDefault="004077DA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5D6A0" w14:textId="42BFBF45" w:rsidR="00D52326" w:rsidRPr="00A254E1" w:rsidRDefault="0041600A" w:rsidP="00974A04">
    <w:pPr>
      <w:tabs>
        <w:tab w:val="center" w:pos="4773"/>
        <w:tab w:val="left" w:pos="6645"/>
      </w:tabs>
      <w:spacing w:before="60" w:line="240" w:lineRule="auto"/>
      <w:ind w:right="91"/>
      <w:jc w:val="left"/>
      <w:rPr>
        <w:rFonts w:asciiTheme="minorHAnsi" w:hAnsiTheme="minorHAnsi" w:cstheme="minorHAnsi"/>
        <w:b/>
        <w:color w:val="002060"/>
        <w:spacing w:val="-1"/>
        <w:sz w:val="24"/>
        <w:szCs w:val="24"/>
      </w:rPr>
    </w:pPr>
    <w:r>
      <w:rPr>
        <w:rFonts w:asciiTheme="minorHAnsi" w:hAnsiTheme="minorHAnsi" w:cstheme="minorHAnsi"/>
        <w:b/>
        <w:color w:val="002060"/>
        <w:spacing w:val="-1"/>
        <w:sz w:val="24"/>
        <w:szCs w:val="24"/>
      </w:rPr>
      <w:tab/>
    </w:r>
    <w:r w:rsidR="00D52326" w:rsidRPr="00A254E1">
      <w:rPr>
        <w:rFonts w:asciiTheme="minorHAnsi" w:hAnsiTheme="minorHAnsi" w:cstheme="minorHAnsi"/>
        <w:b/>
        <w:color w:val="002060"/>
        <w:spacing w:val="-1"/>
        <w:sz w:val="24"/>
        <w:szCs w:val="24"/>
      </w:rPr>
      <w:t>GHIDUL SOLICITANTULUI</w:t>
    </w:r>
    <w:r w:rsidRPr="00A254E1">
      <w:rPr>
        <w:rFonts w:asciiTheme="minorHAnsi" w:hAnsiTheme="minorHAnsi" w:cstheme="minorHAnsi"/>
        <w:b/>
        <w:color w:val="002060"/>
        <w:spacing w:val="-1"/>
        <w:sz w:val="24"/>
        <w:szCs w:val="24"/>
      </w:rPr>
      <w:tab/>
    </w:r>
  </w:p>
  <w:p w14:paraId="46CC32F3" w14:textId="160B9FC5" w:rsidR="009B7865" w:rsidRPr="00A254E1" w:rsidRDefault="0041600A" w:rsidP="00974A04">
    <w:pPr>
      <w:pStyle w:val="Header"/>
      <w:spacing w:before="60"/>
      <w:jc w:val="center"/>
      <w:rPr>
        <w:rFonts w:asciiTheme="minorHAnsi" w:hAnsiTheme="minorHAnsi" w:cstheme="minorHAnsi"/>
      </w:rPr>
    </w:pPr>
    <w:r w:rsidRPr="00A254E1">
      <w:rPr>
        <w:rFonts w:asciiTheme="minorHAnsi" w:eastAsia="Calibri" w:hAnsiTheme="minorHAnsi" w:cstheme="minorHAnsi"/>
        <w:b/>
        <w:bCs/>
        <w:color w:val="002060"/>
        <w:sz w:val="24"/>
        <w:szCs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97965"/>
    <w:multiLevelType w:val="hybridMultilevel"/>
    <w:tmpl w:val="CA7EF418"/>
    <w:lvl w:ilvl="0" w:tplc="34AACEFA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3258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1F6"/>
    <w:rsid w:val="00000960"/>
    <w:rsid w:val="00001BFA"/>
    <w:rsid w:val="00002255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8584D"/>
    <w:rsid w:val="00096950"/>
    <w:rsid w:val="000A7376"/>
    <w:rsid w:val="000B2C42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93EF0"/>
    <w:rsid w:val="001C2E68"/>
    <w:rsid w:val="001C71E6"/>
    <w:rsid w:val="001D423F"/>
    <w:rsid w:val="00205AA2"/>
    <w:rsid w:val="00207620"/>
    <w:rsid w:val="00221019"/>
    <w:rsid w:val="00221870"/>
    <w:rsid w:val="002338AF"/>
    <w:rsid w:val="00243ECE"/>
    <w:rsid w:val="002541E4"/>
    <w:rsid w:val="00260EF3"/>
    <w:rsid w:val="002625A8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41F7"/>
    <w:rsid w:val="00312A74"/>
    <w:rsid w:val="0032580E"/>
    <w:rsid w:val="00325E2F"/>
    <w:rsid w:val="00335C3B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1DA1"/>
    <w:rsid w:val="003E4CA0"/>
    <w:rsid w:val="003E4CA1"/>
    <w:rsid w:val="003E734F"/>
    <w:rsid w:val="004009C3"/>
    <w:rsid w:val="00402CA0"/>
    <w:rsid w:val="004077DA"/>
    <w:rsid w:val="00415D38"/>
    <w:rsid w:val="0041600A"/>
    <w:rsid w:val="004436D7"/>
    <w:rsid w:val="004446B0"/>
    <w:rsid w:val="004820A9"/>
    <w:rsid w:val="0048251A"/>
    <w:rsid w:val="004A2E02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555F1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3A56"/>
    <w:rsid w:val="006F7A02"/>
    <w:rsid w:val="00703F88"/>
    <w:rsid w:val="007114FF"/>
    <w:rsid w:val="00714CED"/>
    <w:rsid w:val="00716FCF"/>
    <w:rsid w:val="00717640"/>
    <w:rsid w:val="0072184C"/>
    <w:rsid w:val="0072591F"/>
    <w:rsid w:val="00732B4A"/>
    <w:rsid w:val="007339ED"/>
    <w:rsid w:val="007351BC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46DFE"/>
    <w:rsid w:val="00847A5D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05585"/>
    <w:rsid w:val="009064D6"/>
    <w:rsid w:val="00916EA1"/>
    <w:rsid w:val="0093245C"/>
    <w:rsid w:val="00933139"/>
    <w:rsid w:val="0093386C"/>
    <w:rsid w:val="00944636"/>
    <w:rsid w:val="00950540"/>
    <w:rsid w:val="009519B9"/>
    <w:rsid w:val="00961438"/>
    <w:rsid w:val="0096652A"/>
    <w:rsid w:val="00974A04"/>
    <w:rsid w:val="00974B15"/>
    <w:rsid w:val="00976A4B"/>
    <w:rsid w:val="0098376A"/>
    <w:rsid w:val="00994483"/>
    <w:rsid w:val="009A2059"/>
    <w:rsid w:val="009B7865"/>
    <w:rsid w:val="009D4380"/>
    <w:rsid w:val="009E53B2"/>
    <w:rsid w:val="009E73E0"/>
    <w:rsid w:val="009E7685"/>
    <w:rsid w:val="00A121F6"/>
    <w:rsid w:val="00A17674"/>
    <w:rsid w:val="00A254E1"/>
    <w:rsid w:val="00A27C45"/>
    <w:rsid w:val="00A31B32"/>
    <w:rsid w:val="00A54B94"/>
    <w:rsid w:val="00A679DD"/>
    <w:rsid w:val="00A74116"/>
    <w:rsid w:val="00A907EB"/>
    <w:rsid w:val="00A92DB2"/>
    <w:rsid w:val="00A95094"/>
    <w:rsid w:val="00AA5908"/>
    <w:rsid w:val="00AA6A45"/>
    <w:rsid w:val="00AA7594"/>
    <w:rsid w:val="00AB76A3"/>
    <w:rsid w:val="00AC3651"/>
    <w:rsid w:val="00AD09F9"/>
    <w:rsid w:val="00AD17B3"/>
    <w:rsid w:val="00AD704D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3FDD"/>
    <w:rsid w:val="00BA6BDF"/>
    <w:rsid w:val="00BA6E6B"/>
    <w:rsid w:val="00BF0D04"/>
    <w:rsid w:val="00BF4360"/>
    <w:rsid w:val="00BF6FDC"/>
    <w:rsid w:val="00C00424"/>
    <w:rsid w:val="00C0502B"/>
    <w:rsid w:val="00C14708"/>
    <w:rsid w:val="00C27E0C"/>
    <w:rsid w:val="00C33F85"/>
    <w:rsid w:val="00C35ACA"/>
    <w:rsid w:val="00C43EA1"/>
    <w:rsid w:val="00C45354"/>
    <w:rsid w:val="00C45431"/>
    <w:rsid w:val="00C475E5"/>
    <w:rsid w:val="00C47FF5"/>
    <w:rsid w:val="00C521A8"/>
    <w:rsid w:val="00C5272F"/>
    <w:rsid w:val="00C542E3"/>
    <w:rsid w:val="00C705B0"/>
    <w:rsid w:val="00C71FCE"/>
    <w:rsid w:val="00C733DB"/>
    <w:rsid w:val="00C73810"/>
    <w:rsid w:val="00C76A77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52326"/>
    <w:rsid w:val="00D60147"/>
    <w:rsid w:val="00D66425"/>
    <w:rsid w:val="00D669B8"/>
    <w:rsid w:val="00D67E53"/>
    <w:rsid w:val="00D745AC"/>
    <w:rsid w:val="00D80AA0"/>
    <w:rsid w:val="00DB36CE"/>
    <w:rsid w:val="00DC71CA"/>
    <w:rsid w:val="00DF073C"/>
    <w:rsid w:val="00E143D4"/>
    <w:rsid w:val="00E2520F"/>
    <w:rsid w:val="00E26D18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0D3E"/>
    <w:rsid w:val="00ED2527"/>
    <w:rsid w:val="00ED7BD8"/>
    <w:rsid w:val="00EF3773"/>
    <w:rsid w:val="00F03AB4"/>
    <w:rsid w:val="00F14DA7"/>
    <w:rsid w:val="00F36143"/>
    <w:rsid w:val="00F41FF2"/>
    <w:rsid w:val="00F55693"/>
    <w:rsid w:val="00F60015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F65C3"/>
  <w15:chartTrackingRefBased/>
  <w15:docId w15:val="{462F39B5-76DD-4AE2-A2D4-82D79284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A3FDD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D52326"/>
    <w:pPr>
      <w:widowControl w:val="0"/>
      <w:autoSpaceDE w:val="0"/>
      <w:autoSpaceDN w:val="0"/>
      <w:spacing w:before="0" w:line="240" w:lineRule="auto"/>
      <w:jc w:val="left"/>
    </w:pPr>
    <w:rPr>
      <w:rFonts w:eastAsia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D52326"/>
    <w:rPr>
      <w:rFonts w:ascii="Trebuchet MS" w:eastAsia="Trebuchet MS" w:hAnsi="Trebuchet MS" w:cs="Trebuchet MS"/>
    </w:rPr>
  </w:style>
  <w:style w:type="paragraph" w:styleId="ListParagraph">
    <w:name w:val="List Paragraph"/>
    <w:basedOn w:val="Normal"/>
    <w:uiPriority w:val="34"/>
    <w:qFormat/>
    <w:rsid w:val="00906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3D7F-C92B-458A-B2EB-A5AAF034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Mariana Acatrinei</cp:lastModifiedBy>
  <cp:revision>4</cp:revision>
  <dcterms:created xsi:type="dcterms:W3CDTF">2024-01-29T11:10:00Z</dcterms:created>
  <dcterms:modified xsi:type="dcterms:W3CDTF">2024-02-01T09:25:00Z</dcterms:modified>
</cp:coreProperties>
</file>